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9D5" w:rsidRPr="00F3547C" w:rsidRDefault="00D727B6" w:rsidP="00A513F2">
      <w:pPr>
        <w:jc w:val="both"/>
        <w:rPr>
          <w:sz w:val="22"/>
          <w:szCs w:val="22"/>
        </w:rPr>
      </w:pPr>
      <w:r>
        <w:rPr>
          <w:i/>
          <w:sz w:val="22"/>
          <w:szCs w:val="22"/>
        </w:rPr>
        <w:t>20</w:t>
      </w:r>
      <w:r w:rsidR="003A39C4">
        <w:rPr>
          <w:i/>
          <w:sz w:val="22"/>
          <w:szCs w:val="22"/>
        </w:rPr>
        <w:t>-</w:t>
      </w:r>
      <w:r w:rsidR="0054693C">
        <w:rPr>
          <w:i/>
          <w:sz w:val="22"/>
          <w:szCs w:val="22"/>
        </w:rPr>
        <w:t>X</w:t>
      </w:r>
      <w:r w:rsidR="00904CAB">
        <w:rPr>
          <w:i/>
          <w:sz w:val="22"/>
          <w:szCs w:val="22"/>
        </w:rPr>
        <w:t>I</w:t>
      </w:r>
      <w:r w:rsidR="00246868">
        <w:rPr>
          <w:i/>
          <w:sz w:val="22"/>
          <w:szCs w:val="22"/>
        </w:rPr>
        <w:t>I</w:t>
      </w:r>
      <w:r w:rsidR="00041E85" w:rsidRPr="00F3547C">
        <w:rPr>
          <w:i/>
          <w:sz w:val="22"/>
          <w:szCs w:val="22"/>
        </w:rPr>
        <w:t>-201</w:t>
      </w:r>
      <w:r w:rsidR="00F41F99">
        <w:rPr>
          <w:i/>
          <w:sz w:val="22"/>
          <w:szCs w:val="22"/>
        </w:rPr>
        <w:t>9</w:t>
      </w:r>
      <w:r>
        <w:rPr>
          <w:i/>
          <w:sz w:val="22"/>
          <w:szCs w:val="22"/>
        </w:rPr>
        <w:t xml:space="preserve">                                     </w:t>
      </w:r>
    </w:p>
    <w:p w:rsidR="004D19D5" w:rsidRDefault="004D19D5" w:rsidP="00A513F2">
      <w:pPr>
        <w:jc w:val="both"/>
        <w:rPr>
          <w:sz w:val="28"/>
          <w:szCs w:val="28"/>
        </w:rPr>
      </w:pPr>
    </w:p>
    <w:p w:rsidR="00F3547C" w:rsidRDefault="00F3547C" w:rsidP="00A513F2">
      <w:pPr>
        <w:jc w:val="both"/>
        <w:rPr>
          <w:sz w:val="28"/>
          <w:szCs w:val="28"/>
        </w:rPr>
      </w:pPr>
    </w:p>
    <w:p w:rsidR="00246868" w:rsidRDefault="00D727B6" w:rsidP="00A513F2">
      <w:pPr>
        <w:tabs>
          <w:tab w:val="left" w:pos="495"/>
          <w:tab w:val="center" w:pos="4252"/>
        </w:tabs>
        <w:jc w:val="center"/>
        <w:rPr>
          <w:b/>
          <w:sz w:val="40"/>
          <w:szCs w:val="40"/>
        </w:rPr>
      </w:pPr>
      <w:r>
        <w:rPr>
          <w:b/>
          <w:sz w:val="40"/>
          <w:szCs w:val="40"/>
        </w:rPr>
        <w:t>Adjudicadas las obras del colector de la margen izquierda del Paseo de Zorrilla</w:t>
      </w:r>
    </w:p>
    <w:p w:rsidR="00E926CA" w:rsidRDefault="00246868" w:rsidP="00A513F2">
      <w:pPr>
        <w:tabs>
          <w:tab w:val="left" w:pos="495"/>
          <w:tab w:val="center" w:pos="4252"/>
        </w:tabs>
        <w:jc w:val="both"/>
        <w:rPr>
          <w:b/>
          <w:sz w:val="40"/>
          <w:szCs w:val="40"/>
        </w:rPr>
      </w:pPr>
      <w:r>
        <w:rPr>
          <w:b/>
          <w:sz w:val="40"/>
          <w:szCs w:val="40"/>
        </w:rPr>
        <w:t xml:space="preserve"> </w:t>
      </w:r>
    </w:p>
    <w:p w:rsidR="007E29F7" w:rsidRDefault="00D727B6" w:rsidP="00A513F2">
      <w:pPr>
        <w:spacing w:after="200" w:line="276" w:lineRule="auto"/>
        <w:jc w:val="center"/>
        <w:rPr>
          <w:sz w:val="28"/>
          <w:szCs w:val="28"/>
        </w:rPr>
      </w:pPr>
      <w:r>
        <w:rPr>
          <w:rFonts w:eastAsia="Times New Roman"/>
          <w:b/>
          <w:bCs/>
          <w:iCs/>
          <w:color w:val="000000"/>
          <w:sz w:val="28"/>
          <w:szCs w:val="28"/>
          <w:lang w:eastAsia="es-ES"/>
        </w:rPr>
        <w:t xml:space="preserve">El proyecto tiene un presupuesto de </w:t>
      </w:r>
      <w:r w:rsidR="008C018E">
        <w:rPr>
          <w:rFonts w:eastAsia="Times New Roman"/>
          <w:b/>
          <w:bCs/>
          <w:iCs/>
          <w:color w:val="000000"/>
          <w:sz w:val="28"/>
          <w:szCs w:val="28"/>
          <w:lang w:eastAsia="es-ES"/>
        </w:rPr>
        <w:t>más de 1,2</w:t>
      </w:r>
      <w:r>
        <w:rPr>
          <w:rFonts w:eastAsia="Times New Roman"/>
          <w:b/>
          <w:bCs/>
          <w:iCs/>
          <w:color w:val="000000"/>
          <w:sz w:val="28"/>
          <w:szCs w:val="28"/>
          <w:lang w:eastAsia="es-ES"/>
        </w:rPr>
        <w:t xml:space="preserve"> millones de euros. Además, Aquavall </w:t>
      </w:r>
      <w:r w:rsidR="008C018E">
        <w:rPr>
          <w:rFonts w:eastAsia="Times New Roman"/>
          <w:b/>
          <w:bCs/>
          <w:iCs/>
          <w:color w:val="000000"/>
          <w:sz w:val="28"/>
          <w:szCs w:val="28"/>
          <w:lang w:eastAsia="es-ES"/>
        </w:rPr>
        <w:t xml:space="preserve"> ha aprobado</w:t>
      </w:r>
      <w:r>
        <w:rPr>
          <w:rFonts w:eastAsia="Times New Roman"/>
          <w:b/>
          <w:bCs/>
          <w:iCs/>
          <w:color w:val="000000"/>
          <w:sz w:val="28"/>
          <w:szCs w:val="28"/>
          <w:lang w:eastAsia="es-ES"/>
        </w:rPr>
        <w:t xml:space="preserve"> la compra de dos camiones para la limpieza del alcantarillado</w:t>
      </w:r>
    </w:p>
    <w:p w:rsidR="00246868" w:rsidRDefault="00246868" w:rsidP="00A513F2">
      <w:pPr>
        <w:ind w:right="-1"/>
        <w:jc w:val="both"/>
        <w:rPr>
          <w:rFonts w:ascii="Calibri" w:hAnsi="Calibri" w:cs="Arial"/>
          <w:b/>
          <w:bCs/>
          <w:i/>
          <w:iCs/>
          <w:sz w:val="22"/>
          <w:szCs w:val="22"/>
        </w:rPr>
      </w:pPr>
      <w:r>
        <w:rPr>
          <w:color w:val="000000"/>
          <w:sz w:val="28"/>
          <w:szCs w:val="28"/>
        </w:rPr>
        <w:t xml:space="preserve"> </w:t>
      </w:r>
    </w:p>
    <w:p w:rsidR="00246868" w:rsidRPr="008E1135" w:rsidRDefault="00246868" w:rsidP="00A513F2">
      <w:pPr>
        <w:ind w:right="-1"/>
        <w:jc w:val="both"/>
        <w:rPr>
          <w:rFonts w:ascii="Calibri" w:hAnsi="Calibri" w:cs="Arial"/>
          <w:b/>
          <w:bCs/>
          <w:i/>
          <w:iCs/>
          <w:sz w:val="22"/>
          <w:szCs w:val="22"/>
        </w:rPr>
      </w:pPr>
    </w:p>
    <w:p w:rsidR="00D727B6" w:rsidRDefault="00A322FA" w:rsidP="00A513F2">
      <w:pPr>
        <w:spacing w:after="160"/>
        <w:jc w:val="both"/>
        <w:rPr>
          <w:bCs/>
          <w:sz w:val="28"/>
          <w:szCs w:val="28"/>
        </w:rPr>
      </w:pPr>
      <w:r>
        <w:rPr>
          <w:bCs/>
          <w:sz w:val="28"/>
          <w:szCs w:val="28"/>
        </w:rPr>
        <w:t>El inicio de l</w:t>
      </w:r>
      <w:r w:rsidR="00D727B6">
        <w:rPr>
          <w:bCs/>
          <w:sz w:val="28"/>
          <w:szCs w:val="28"/>
        </w:rPr>
        <w:t>as obras para la sustitución del colector de la margen izquierda del Paseo de Zorrilla</w:t>
      </w:r>
      <w:r w:rsidR="00246868" w:rsidRPr="00246868">
        <w:rPr>
          <w:bCs/>
          <w:sz w:val="28"/>
          <w:szCs w:val="28"/>
        </w:rPr>
        <w:t xml:space="preserve"> </w:t>
      </w:r>
      <w:r w:rsidR="00D727B6">
        <w:rPr>
          <w:bCs/>
          <w:sz w:val="28"/>
          <w:szCs w:val="28"/>
        </w:rPr>
        <w:t>est</w:t>
      </w:r>
      <w:r>
        <w:rPr>
          <w:bCs/>
          <w:sz w:val="28"/>
          <w:szCs w:val="28"/>
        </w:rPr>
        <w:t>á previsto para el mes de febrero y se prolongarán hasta el último trimestre de 2020. El consejo de administración de Aquavall, celebrado esta mañana en el Ayuntamiento de Valladolid, ha adjudicado las obras por un importe de 1.274.812,49 euros.</w:t>
      </w:r>
    </w:p>
    <w:p w:rsidR="00A322FA" w:rsidRDefault="00A322FA" w:rsidP="00A513F2">
      <w:pPr>
        <w:spacing w:after="160"/>
        <w:jc w:val="both"/>
        <w:rPr>
          <w:bCs/>
          <w:sz w:val="28"/>
          <w:szCs w:val="28"/>
        </w:rPr>
      </w:pPr>
      <w:r>
        <w:rPr>
          <w:bCs/>
          <w:sz w:val="28"/>
          <w:szCs w:val="28"/>
        </w:rPr>
        <w:t xml:space="preserve">La empresa MESTOLAYA, S.L. ha sido la adjudicataria del proyecto que se prolongará durante 8 meses. La licitación se aprobó el pasado mes de septiembre por un importe superior a 1,8 millones de euros (1.823.282,34). En la licitación pública se presentaron 23 empresas y como el único criterio que establecía el pliego era el precio al final se ha producido una rebaja de más de medio millón de euros sobre el presupuesto inicial. </w:t>
      </w:r>
    </w:p>
    <w:p w:rsidR="008C018E" w:rsidRDefault="00A322FA" w:rsidP="00A513F2">
      <w:pPr>
        <w:spacing w:after="160"/>
        <w:jc w:val="both"/>
        <w:rPr>
          <w:bCs/>
          <w:sz w:val="28"/>
          <w:szCs w:val="28"/>
        </w:rPr>
      </w:pPr>
      <w:r>
        <w:rPr>
          <w:bCs/>
          <w:sz w:val="28"/>
          <w:szCs w:val="28"/>
        </w:rPr>
        <w:t>Ante la dimensión del proyecto</w:t>
      </w:r>
      <w:r w:rsidR="008D1D24">
        <w:rPr>
          <w:bCs/>
          <w:sz w:val="28"/>
          <w:szCs w:val="28"/>
        </w:rPr>
        <w:t xml:space="preserve"> en el Paseo de Zor</w:t>
      </w:r>
      <w:r w:rsidR="008C018E">
        <w:rPr>
          <w:bCs/>
          <w:sz w:val="28"/>
          <w:szCs w:val="28"/>
        </w:rPr>
        <w:t>r</w:t>
      </w:r>
      <w:r w:rsidR="008D1D24">
        <w:rPr>
          <w:bCs/>
          <w:sz w:val="28"/>
          <w:szCs w:val="28"/>
        </w:rPr>
        <w:t>illa</w:t>
      </w:r>
      <w:r>
        <w:rPr>
          <w:bCs/>
          <w:sz w:val="28"/>
          <w:szCs w:val="28"/>
        </w:rPr>
        <w:t xml:space="preserve"> la concejala de Medio Ambiente y Desarrollo Sostenible, María Sánchez, ha anunciado que se informará con carácter general a todos los ciudadanos y, en particular, a los vecinos directamente afectados. Asimismo, María Sánchez se reunirá con las asociaciones y colectivos </w:t>
      </w:r>
      <w:r w:rsidR="008D1D24">
        <w:rPr>
          <w:bCs/>
          <w:sz w:val="28"/>
          <w:szCs w:val="28"/>
        </w:rPr>
        <w:t>del entorno para explicarles todos los d</w:t>
      </w:r>
      <w:r w:rsidR="008C018E">
        <w:rPr>
          <w:bCs/>
          <w:sz w:val="28"/>
          <w:szCs w:val="28"/>
        </w:rPr>
        <w:t>etalles de “una obra necesaria”.</w:t>
      </w:r>
    </w:p>
    <w:p w:rsidR="00A513F2" w:rsidRDefault="00A513F2" w:rsidP="00A513F2">
      <w:pPr>
        <w:spacing w:after="160"/>
        <w:jc w:val="both"/>
        <w:rPr>
          <w:bCs/>
          <w:sz w:val="28"/>
          <w:szCs w:val="28"/>
        </w:rPr>
      </w:pPr>
      <w:r>
        <w:rPr>
          <w:bCs/>
          <w:sz w:val="28"/>
          <w:szCs w:val="28"/>
        </w:rPr>
        <w:t>La concejala de Medio Ambiente y Desarrollo Sostenible ha recordado la falta de mantenimiento de las redes durante los veinte años de gestión privada: “Desde que el Ayuntamiento remunicipali</w:t>
      </w:r>
      <w:bookmarkStart w:id="0" w:name="_GoBack"/>
      <w:bookmarkEnd w:id="0"/>
      <w:r>
        <w:rPr>
          <w:bCs/>
          <w:sz w:val="28"/>
          <w:szCs w:val="28"/>
        </w:rPr>
        <w:t>zó el servicio, el 1 de julio de 2017, nos encontramos con un déficit de inversiones muy importante, como se ha comprobado, por ejemplo, en las inundaciones que se producían en el propio Paseo de Zorrilla en episodios de</w:t>
      </w:r>
      <w:r w:rsidR="005E630E">
        <w:rPr>
          <w:bCs/>
          <w:sz w:val="28"/>
          <w:szCs w:val="28"/>
        </w:rPr>
        <w:t xml:space="preserve"> acumulación</w:t>
      </w:r>
      <w:r>
        <w:rPr>
          <w:bCs/>
          <w:sz w:val="28"/>
          <w:szCs w:val="28"/>
        </w:rPr>
        <w:t xml:space="preserve"> de agua”. La inversión que se ejecutará el próximo año permitirá multiplicar por nueve la capacidad de desagüe. </w:t>
      </w:r>
    </w:p>
    <w:p w:rsidR="00D727B6" w:rsidRDefault="008D1D24" w:rsidP="00A513F2">
      <w:pPr>
        <w:spacing w:after="160"/>
        <w:jc w:val="both"/>
        <w:rPr>
          <w:rFonts w:asciiTheme="minorHAnsi" w:eastAsia="Calibri" w:hAnsiTheme="minorHAnsi" w:cstheme="minorHAnsi"/>
          <w:lang w:eastAsia="es-ES"/>
        </w:rPr>
      </w:pPr>
      <w:r>
        <w:rPr>
          <w:bCs/>
          <w:sz w:val="28"/>
          <w:szCs w:val="28"/>
        </w:rPr>
        <w:lastRenderedPageBreak/>
        <w:t xml:space="preserve"> En consecuencia, como el proyecto se ejecutará en varias fases</w:t>
      </w:r>
      <w:r w:rsidR="008C018E">
        <w:rPr>
          <w:bCs/>
          <w:sz w:val="28"/>
          <w:szCs w:val="28"/>
        </w:rPr>
        <w:t xml:space="preserve">, con siete tramos, </w:t>
      </w:r>
      <w:r>
        <w:rPr>
          <w:bCs/>
          <w:sz w:val="28"/>
          <w:szCs w:val="28"/>
        </w:rPr>
        <w:t xml:space="preserve"> y conllevará cortes de tráfico y desvíos en la circulación la concejala mantendrá encuentros con comerciantes, emp</w:t>
      </w:r>
      <w:r w:rsidR="00E31D2A">
        <w:rPr>
          <w:bCs/>
          <w:sz w:val="28"/>
          <w:szCs w:val="28"/>
        </w:rPr>
        <w:t xml:space="preserve">resas y asociaciones de vecinos. El objetivo es doble: minimizar los efectos de las obras y procurar que todos los afectados estén informados.  </w:t>
      </w:r>
      <w:r>
        <w:rPr>
          <w:bCs/>
          <w:sz w:val="28"/>
          <w:szCs w:val="28"/>
        </w:rPr>
        <w:t xml:space="preserve"> </w:t>
      </w:r>
    </w:p>
    <w:p w:rsidR="00D727B6" w:rsidRDefault="00D727B6" w:rsidP="00A513F2">
      <w:pPr>
        <w:spacing w:after="160"/>
        <w:jc w:val="both"/>
        <w:rPr>
          <w:rFonts w:asciiTheme="minorHAnsi" w:eastAsia="Calibri" w:hAnsiTheme="minorHAnsi" w:cstheme="minorHAnsi"/>
          <w:lang w:eastAsia="es-ES"/>
        </w:rPr>
      </w:pPr>
      <w:r>
        <w:rPr>
          <w:noProof/>
          <w:lang w:eastAsia="es-ES"/>
        </w:rPr>
        <w:drawing>
          <wp:inline distT="0" distB="0" distL="0" distR="0" wp14:anchorId="41E617B7" wp14:editId="33289827">
            <wp:extent cx="5400040" cy="3836670"/>
            <wp:effectExtent l="0" t="0" r="0" b="0"/>
            <wp:docPr id="6" name="Imagen 6" descr="cid:image005.png@01D5B671.7FB3B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5.png@01D5B671.7FB3B0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00040" cy="3836670"/>
                    </a:xfrm>
                    <a:prstGeom prst="rect">
                      <a:avLst/>
                    </a:prstGeom>
                    <a:noFill/>
                    <a:ln>
                      <a:noFill/>
                    </a:ln>
                  </pic:spPr>
                </pic:pic>
              </a:graphicData>
            </a:graphic>
          </wp:inline>
        </w:drawing>
      </w:r>
    </w:p>
    <w:p w:rsidR="00D727B6" w:rsidRPr="00D97DB3" w:rsidRDefault="00E31D2A" w:rsidP="00A513F2">
      <w:pPr>
        <w:spacing w:line="360" w:lineRule="auto"/>
        <w:jc w:val="both"/>
        <w:rPr>
          <w:rFonts w:ascii="Calibri" w:eastAsia="Calibri" w:hAnsi="Calibri" w:cs="Calibri"/>
          <w:sz w:val="22"/>
          <w:szCs w:val="22"/>
          <w:lang w:eastAsia="en-US"/>
        </w:rPr>
      </w:pPr>
      <w:r>
        <w:rPr>
          <w:rFonts w:ascii="Calibri" w:eastAsia="Calibri" w:hAnsi="Calibri" w:cs="Calibri"/>
          <w:sz w:val="22"/>
          <w:szCs w:val="22"/>
          <w:lang w:eastAsia="en-US"/>
        </w:rPr>
        <w:t xml:space="preserve"> </w:t>
      </w:r>
    </w:p>
    <w:p w:rsidR="00D727B6" w:rsidRPr="00E31D2A" w:rsidRDefault="00D727B6" w:rsidP="00A513F2">
      <w:pPr>
        <w:spacing w:line="360" w:lineRule="auto"/>
        <w:jc w:val="both"/>
        <w:rPr>
          <w:rFonts w:eastAsia="Calibri"/>
          <w:sz w:val="28"/>
          <w:szCs w:val="28"/>
          <w:lang w:eastAsia="es-ES"/>
        </w:rPr>
      </w:pPr>
      <w:r w:rsidRPr="00E31D2A">
        <w:rPr>
          <w:rFonts w:eastAsia="Calibri"/>
          <w:sz w:val="28"/>
          <w:szCs w:val="28"/>
          <w:lang w:eastAsia="es-ES"/>
        </w:rPr>
        <w:t>Cabe destacar que esta obra supondrá una mejora muy relevante en el colector que multiplica hasta por 9 su capacidad de desagüe actual en algunas zonas, corrigiendo los problemas actuales de atascos, f</w:t>
      </w:r>
      <w:r w:rsidR="008C018E">
        <w:rPr>
          <w:rFonts w:eastAsia="Calibri"/>
          <w:sz w:val="28"/>
          <w:szCs w:val="28"/>
          <w:lang w:eastAsia="es-ES"/>
        </w:rPr>
        <w:t>iltraciones. A</w:t>
      </w:r>
      <w:r w:rsidR="00E31D2A" w:rsidRPr="00E31D2A">
        <w:rPr>
          <w:rFonts w:eastAsia="Calibri"/>
          <w:sz w:val="28"/>
          <w:szCs w:val="28"/>
          <w:lang w:eastAsia="es-ES"/>
        </w:rPr>
        <w:t>demás</w:t>
      </w:r>
      <w:r w:rsidR="008C018E">
        <w:rPr>
          <w:rFonts w:eastAsia="Calibri"/>
          <w:sz w:val="28"/>
          <w:szCs w:val="28"/>
          <w:lang w:eastAsia="es-ES"/>
        </w:rPr>
        <w:t>,</w:t>
      </w:r>
      <w:r w:rsidR="00E31D2A" w:rsidRPr="00E31D2A">
        <w:rPr>
          <w:rFonts w:eastAsia="Calibri"/>
          <w:sz w:val="28"/>
          <w:szCs w:val="28"/>
          <w:lang w:eastAsia="es-ES"/>
        </w:rPr>
        <w:t xml:space="preserve"> se estim</w:t>
      </w:r>
      <w:r w:rsidRPr="00E31D2A">
        <w:rPr>
          <w:rFonts w:eastAsia="Calibri"/>
          <w:sz w:val="28"/>
          <w:szCs w:val="28"/>
          <w:lang w:eastAsia="es-ES"/>
        </w:rPr>
        <w:t>a que la población que se beneficiará de esta mejora en la red de saneamiento es superior a 15.000 personas.</w:t>
      </w:r>
    </w:p>
    <w:p w:rsidR="00D727B6" w:rsidRPr="00E31D2A" w:rsidRDefault="00D727B6" w:rsidP="00A513F2">
      <w:pPr>
        <w:spacing w:line="360" w:lineRule="auto"/>
        <w:jc w:val="both"/>
        <w:rPr>
          <w:rFonts w:eastAsia="Calibri"/>
          <w:sz w:val="28"/>
          <w:szCs w:val="28"/>
          <w:lang w:eastAsia="es-ES"/>
        </w:rPr>
      </w:pPr>
    </w:p>
    <w:p w:rsidR="00D727B6" w:rsidRPr="00EA79A6" w:rsidRDefault="00E31D2A" w:rsidP="00A513F2">
      <w:pPr>
        <w:spacing w:line="360" w:lineRule="auto"/>
        <w:jc w:val="both"/>
        <w:rPr>
          <w:rFonts w:eastAsia="Calibri"/>
          <w:b/>
          <w:sz w:val="28"/>
          <w:szCs w:val="28"/>
          <w:lang w:eastAsia="es-ES"/>
        </w:rPr>
      </w:pPr>
      <w:r w:rsidRPr="00EA79A6">
        <w:rPr>
          <w:rFonts w:eastAsia="Calibri"/>
          <w:b/>
          <w:sz w:val="28"/>
          <w:szCs w:val="28"/>
          <w:lang w:eastAsia="es-ES"/>
        </w:rPr>
        <w:t xml:space="preserve"> Más acuerdos de Aquavall</w:t>
      </w:r>
    </w:p>
    <w:p w:rsidR="00EA79A6" w:rsidRDefault="00EA79A6" w:rsidP="00A513F2">
      <w:pPr>
        <w:spacing w:line="360" w:lineRule="auto"/>
        <w:jc w:val="both"/>
        <w:rPr>
          <w:rFonts w:eastAsia="Calibri"/>
          <w:sz w:val="28"/>
          <w:szCs w:val="28"/>
          <w:lang w:eastAsia="es-ES"/>
        </w:rPr>
      </w:pPr>
    </w:p>
    <w:p w:rsidR="00EA79A6" w:rsidRDefault="00EA79A6" w:rsidP="00A513F2">
      <w:pPr>
        <w:spacing w:line="360" w:lineRule="auto"/>
        <w:jc w:val="both"/>
        <w:rPr>
          <w:rFonts w:eastAsia="Calibri"/>
          <w:sz w:val="28"/>
          <w:szCs w:val="28"/>
          <w:lang w:eastAsia="es-ES"/>
        </w:rPr>
      </w:pPr>
      <w:r>
        <w:rPr>
          <w:rFonts w:eastAsia="Calibri"/>
          <w:sz w:val="28"/>
          <w:szCs w:val="28"/>
          <w:lang w:eastAsia="es-ES"/>
        </w:rPr>
        <w:lastRenderedPageBreak/>
        <w:t xml:space="preserve">Además, en el consejo de administración de la entidad pública que gestiona desde hace dos años y medio el ciclo integral del agua se han adoptado más acuerdos que redundan en la mejora del servicio. </w:t>
      </w:r>
    </w:p>
    <w:p w:rsidR="00A513F2" w:rsidRPr="00381B23" w:rsidRDefault="00A513F2" w:rsidP="00A513F2">
      <w:pPr>
        <w:pStyle w:val="Prrafodelista"/>
        <w:numPr>
          <w:ilvl w:val="0"/>
          <w:numId w:val="3"/>
        </w:numPr>
        <w:spacing w:line="360" w:lineRule="auto"/>
        <w:ind w:left="357" w:hanging="357"/>
        <w:jc w:val="both"/>
        <w:rPr>
          <w:rFonts w:asciiTheme="minorHAnsi" w:eastAsia="Calibri" w:hAnsiTheme="minorHAnsi" w:cstheme="minorHAnsi"/>
          <w:lang w:eastAsia="es-ES"/>
        </w:rPr>
      </w:pPr>
      <w:r w:rsidRPr="00381B23">
        <w:rPr>
          <w:rFonts w:asciiTheme="minorHAnsi" w:eastAsia="Calibri" w:hAnsiTheme="minorHAnsi" w:cstheme="minorHAnsi"/>
          <w:lang w:eastAsia="es-ES"/>
        </w:rPr>
        <w:t xml:space="preserve">Adjudicación del contrato de suministro de </w:t>
      </w:r>
      <w:r w:rsidRPr="00381B23">
        <w:rPr>
          <w:rFonts w:asciiTheme="minorHAnsi" w:eastAsia="Calibri" w:hAnsiTheme="minorHAnsi" w:cstheme="minorHAnsi"/>
          <w:b/>
          <w:bCs/>
          <w:lang w:eastAsia="es-ES"/>
        </w:rPr>
        <w:t>dos camiones con equipo impulsor-aspirador</w:t>
      </w:r>
      <w:r w:rsidRPr="00381B23">
        <w:rPr>
          <w:rFonts w:asciiTheme="minorHAnsi" w:eastAsia="Calibri" w:hAnsiTheme="minorHAnsi" w:cstheme="minorHAnsi"/>
          <w:lang w:eastAsia="es-ES"/>
        </w:rPr>
        <w:t xml:space="preserve"> con sistema de reciclado y reutilización de agua, destinado a la limpieza de redes de alcantarillado; con esta adquisición se asegura una correcta limpieza y mantenimiento de los casi 800 kilómetros de red de saneamiento de los que dispone la ciudad de Valladolid, el importe de la compra de estos dos camiones asciende a </w:t>
      </w:r>
      <w:r w:rsidRPr="00381B23">
        <w:rPr>
          <w:rFonts w:asciiTheme="minorHAnsi" w:eastAsia="Calibri" w:hAnsiTheme="minorHAnsi" w:cstheme="minorHAnsi"/>
          <w:b/>
          <w:bCs/>
          <w:lang w:eastAsia="es-ES"/>
        </w:rPr>
        <w:t>862.004 euros (IVA incluido).</w:t>
      </w:r>
    </w:p>
    <w:p w:rsidR="00A513F2" w:rsidRPr="00381B23" w:rsidRDefault="00A513F2" w:rsidP="00A513F2">
      <w:pPr>
        <w:pStyle w:val="Prrafodelista"/>
        <w:numPr>
          <w:ilvl w:val="0"/>
          <w:numId w:val="3"/>
        </w:numPr>
        <w:spacing w:line="360" w:lineRule="auto"/>
        <w:ind w:left="357" w:hanging="357"/>
        <w:jc w:val="both"/>
        <w:rPr>
          <w:rFonts w:asciiTheme="minorHAnsi" w:eastAsia="Calibri" w:hAnsiTheme="minorHAnsi" w:cstheme="minorHAnsi"/>
          <w:lang w:eastAsia="es-ES"/>
        </w:rPr>
      </w:pPr>
      <w:r w:rsidRPr="00381B23">
        <w:rPr>
          <w:rFonts w:asciiTheme="minorHAnsi" w:eastAsia="Calibri" w:hAnsiTheme="minorHAnsi" w:cstheme="minorHAnsi"/>
          <w:lang w:eastAsia="es-ES"/>
        </w:rPr>
        <w:t xml:space="preserve">Aprobada en el Consejo de fecha 28 de agosto la licitación pública para la puesta en marcha e integración en el sistema de </w:t>
      </w:r>
      <w:r w:rsidRPr="00381B23">
        <w:rPr>
          <w:rFonts w:asciiTheme="minorHAnsi" w:eastAsia="Calibri" w:hAnsiTheme="minorHAnsi" w:cstheme="minorHAnsi"/>
          <w:b/>
          <w:bCs/>
          <w:lang w:eastAsia="es-ES"/>
        </w:rPr>
        <w:t>soplantes de la EDAR,</w:t>
      </w:r>
      <w:r w:rsidRPr="00381B23">
        <w:rPr>
          <w:rFonts w:asciiTheme="minorHAnsi" w:eastAsia="Calibri" w:hAnsiTheme="minorHAnsi" w:cstheme="minorHAnsi"/>
          <w:lang w:eastAsia="es-ES"/>
        </w:rPr>
        <w:t xml:space="preserve"> se presentó una única proposición una vez comprobada la oferta, se propone la adjudicación a SULZER PUMS WASTER SPAIN, del citado contrato por un importe de </w:t>
      </w:r>
      <w:r w:rsidRPr="00381B23">
        <w:rPr>
          <w:rFonts w:asciiTheme="minorHAnsi" w:eastAsia="Calibri" w:hAnsiTheme="minorHAnsi" w:cstheme="minorHAnsi"/>
          <w:b/>
          <w:bCs/>
          <w:lang w:eastAsia="es-ES"/>
        </w:rPr>
        <w:t xml:space="preserve">716.804 euros </w:t>
      </w:r>
      <w:r w:rsidRPr="00381B23">
        <w:rPr>
          <w:rFonts w:asciiTheme="minorHAnsi" w:eastAsia="Calibri" w:hAnsiTheme="minorHAnsi" w:cstheme="minorHAnsi"/>
          <w:lang w:eastAsia="es-ES"/>
        </w:rPr>
        <w:t xml:space="preserve">(IVA incluido) . </w:t>
      </w:r>
    </w:p>
    <w:p w:rsidR="00A513F2" w:rsidRPr="00381B23" w:rsidRDefault="00A513F2" w:rsidP="00A513F2">
      <w:pPr>
        <w:pStyle w:val="Prrafodelista"/>
        <w:numPr>
          <w:ilvl w:val="0"/>
          <w:numId w:val="3"/>
        </w:numPr>
        <w:spacing w:line="360" w:lineRule="auto"/>
        <w:ind w:left="357" w:hanging="357"/>
        <w:jc w:val="both"/>
        <w:rPr>
          <w:rFonts w:asciiTheme="minorHAnsi" w:eastAsia="Calibri" w:hAnsiTheme="minorHAnsi" w:cstheme="minorHAnsi"/>
          <w:lang w:eastAsia="es-ES"/>
        </w:rPr>
      </w:pPr>
      <w:r w:rsidRPr="00381B23">
        <w:rPr>
          <w:rFonts w:asciiTheme="minorHAnsi" w:eastAsia="Calibri" w:hAnsiTheme="minorHAnsi" w:cstheme="minorHAnsi"/>
          <w:lang w:eastAsia="es-ES"/>
        </w:rPr>
        <w:t xml:space="preserve">Se ha dado cuenta de la adjudicación del contrato de suministro de energía eléctrica de las instalaciones de la entidad pública, que ha supondrá para la </w:t>
      </w:r>
      <w:r w:rsidRPr="00381B23">
        <w:rPr>
          <w:rFonts w:asciiTheme="minorHAnsi" w:eastAsia="Calibri" w:hAnsiTheme="minorHAnsi" w:cstheme="minorHAnsi"/>
          <w:b/>
          <w:bCs/>
          <w:lang w:eastAsia="es-ES"/>
        </w:rPr>
        <w:t>entidad un ahorro de 124.638 euros</w:t>
      </w:r>
      <w:r w:rsidRPr="00381B23">
        <w:rPr>
          <w:rFonts w:asciiTheme="minorHAnsi" w:eastAsia="Calibri" w:hAnsiTheme="minorHAnsi" w:cstheme="minorHAnsi"/>
          <w:lang w:eastAsia="es-ES"/>
        </w:rPr>
        <w:t xml:space="preserve">, aproximadamente un 6% del coste total. Adjudicación del contrato de suministro, puesta en marcha e integración en el sistema de soplantes en la EDAR de Valladolid. </w:t>
      </w:r>
    </w:p>
    <w:p w:rsidR="00A513F2" w:rsidRPr="00507513" w:rsidRDefault="00A513F2" w:rsidP="00A513F2">
      <w:pPr>
        <w:pStyle w:val="Prrafodelista"/>
        <w:spacing w:line="360" w:lineRule="auto"/>
        <w:ind w:left="357"/>
        <w:jc w:val="both"/>
        <w:rPr>
          <w:rFonts w:asciiTheme="minorHAnsi" w:eastAsia="Calibri" w:hAnsiTheme="minorHAnsi" w:cstheme="minorHAnsi"/>
          <w:lang w:eastAsia="es-ES"/>
        </w:rPr>
      </w:pPr>
    </w:p>
    <w:p w:rsidR="00A513F2" w:rsidRPr="00E31D2A" w:rsidRDefault="00A513F2" w:rsidP="00D727B6">
      <w:pPr>
        <w:spacing w:line="360" w:lineRule="auto"/>
        <w:jc w:val="both"/>
        <w:rPr>
          <w:rFonts w:eastAsia="Calibri"/>
          <w:sz w:val="28"/>
          <w:szCs w:val="28"/>
          <w:lang w:eastAsia="es-ES"/>
        </w:rPr>
      </w:pPr>
    </w:p>
    <w:p w:rsidR="00D727B6" w:rsidRPr="00E31D2A" w:rsidRDefault="00D727B6" w:rsidP="00D727B6">
      <w:pPr>
        <w:jc w:val="both"/>
        <w:rPr>
          <w:rFonts w:eastAsia="Calibri"/>
          <w:sz w:val="28"/>
          <w:szCs w:val="28"/>
          <w:lang w:eastAsia="es-ES"/>
        </w:rPr>
      </w:pPr>
    </w:p>
    <w:p w:rsidR="00246868" w:rsidRPr="00E31D2A" w:rsidRDefault="00A513F2" w:rsidP="00D727B6">
      <w:pPr>
        <w:ind w:right="-1"/>
        <w:jc w:val="both"/>
        <w:rPr>
          <w:b/>
          <w:sz w:val="28"/>
          <w:szCs w:val="28"/>
        </w:rPr>
      </w:pPr>
      <w:r>
        <w:rPr>
          <w:b/>
          <w:sz w:val="28"/>
          <w:szCs w:val="28"/>
        </w:rPr>
        <w:t xml:space="preserve"> </w:t>
      </w:r>
    </w:p>
    <w:p w:rsidR="007E29F7" w:rsidRPr="00E31D2A" w:rsidRDefault="007E29F7" w:rsidP="00246868">
      <w:pPr>
        <w:jc w:val="both"/>
        <w:rPr>
          <w:color w:val="000000"/>
          <w:sz w:val="28"/>
          <w:szCs w:val="28"/>
        </w:rPr>
      </w:pPr>
    </w:p>
    <w:sectPr w:rsidR="007E29F7" w:rsidRPr="00E31D2A" w:rsidSect="00CA0490">
      <w:headerReference w:type="default" r:id="rId10"/>
      <w:footerReference w:type="even" r:id="rId11"/>
      <w:footerReference w:type="default" r:id="rId12"/>
      <w:pgSz w:w="11906" w:h="16838"/>
      <w:pgMar w:top="2127" w:right="1558" w:bottom="1418" w:left="1701" w:header="426"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F6E" w:rsidRDefault="00061F6E" w:rsidP="004D19D5">
      <w:r>
        <w:separator/>
      </w:r>
    </w:p>
  </w:endnote>
  <w:endnote w:type="continuationSeparator" w:id="0">
    <w:p w:rsidR="00061F6E" w:rsidRDefault="00061F6E" w:rsidP="004D1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21002A87" w:usb1="00000000" w:usb2="00000000"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4D19D5">
      <w:rPr>
        <w:i/>
        <w:iCs/>
        <w:sz w:val="18"/>
      </w:rPr>
      <w:fldChar w:fldCharType="begin"/>
    </w:r>
    <w:r>
      <w:instrText>PAGE</w:instrText>
    </w:r>
    <w:r w:rsidR="004D19D5">
      <w:fldChar w:fldCharType="separate"/>
    </w:r>
    <w:r w:rsidR="005E630E">
      <w:rPr>
        <w:noProof/>
      </w:rPr>
      <w:t>2</w:t>
    </w:r>
    <w:r w:rsidR="004D19D5">
      <w:fldChar w:fldCharType="end"/>
    </w:r>
    <w:r>
      <w:rPr>
        <w:i/>
        <w:iCs/>
        <w:sz w:val="18"/>
      </w:rPr>
      <w:t xml:space="preserve"> de </w:t>
    </w:r>
    <w:r w:rsidR="004D19D5">
      <w:rPr>
        <w:i/>
        <w:iCs/>
        <w:sz w:val="18"/>
      </w:rPr>
      <w:fldChar w:fldCharType="begin"/>
    </w:r>
    <w:r>
      <w:instrText>NUMPAGES</w:instrText>
    </w:r>
    <w:r w:rsidR="004D19D5">
      <w:fldChar w:fldCharType="separate"/>
    </w:r>
    <w:r w:rsidR="005E630E">
      <w:rPr>
        <w:noProof/>
      </w:rPr>
      <w:t>3</w:t>
    </w:r>
    <w:r w:rsidR="004D19D5">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4D19D5" w:rsidRPr="00DC563A">
      <w:rPr>
        <w:i/>
        <w:iCs/>
        <w:sz w:val="16"/>
        <w:szCs w:val="16"/>
      </w:rPr>
      <w:fldChar w:fldCharType="begin"/>
    </w:r>
    <w:r w:rsidRPr="00DC563A">
      <w:rPr>
        <w:i/>
        <w:sz w:val="16"/>
        <w:szCs w:val="16"/>
      </w:rPr>
      <w:instrText>PAGE</w:instrText>
    </w:r>
    <w:r w:rsidR="004D19D5" w:rsidRPr="00DC563A">
      <w:rPr>
        <w:i/>
        <w:sz w:val="16"/>
        <w:szCs w:val="16"/>
      </w:rPr>
      <w:fldChar w:fldCharType="separate"/>
    </w:r>
    <w:r w:rsidR="005E630E">
      <w:rPr>
        <w:i/>
        <w:noProof/>
        <w:sz w:val="16"/>
        <w:szCs w:val="16"/>
      </w:rPr>
      <w:t>1</w:t>
    </w:r>
    <w:r w:rsidR="004D19D5" w:rsidRPr="00DC563A">
      <w:rPr>
        <w:i/>
        <w:sz w:val="16"/>
        <w:szCs w:val="16"/>
      </w:rPr>
      <w:fldChar w:fldCharType="end"/>
    </w:r>
    <w:r w:rsidRPr="00DC563A">
      <w:rPr>
        <w:i/>
        <w:iCs/>
        <w:sz w:val="16"/>
        <w:szCs w:val="16"/>
      </w:rPr>
      <w:t xml:space="preserve"> de </w:t>
    </w:r>
    <w:r w:rsidR="004D19D5" w:rsidRPr="00DC563A">
      <w:rPr>
        <w:i/>
        <w:iCs/>
        <w:sz w:val="16"/>
        <w:szCs w:val="16"/>
      </w:rPr>
      <w:fldChar w:fldCharType="begin"/>
    </w:r>
    <w:r w:rsidRPr="00DC563A">
      <w:rPr>
        <w:i/>
        <w:sz w:val="16"/>
        <w:szCs w:val="16"/>
      </w:rPr>
      <w:instrText>NUMPAGES</w:instrText>
    </w:r>
    <w:r w:rsidR="004D19D5" w:rsidRPr="00DC563A">
      <w:rPr>
        <w:i/>
        <w:sz w:val="16"/>
        <w:szCs w:val="16"/>
      </w:rPr>
      <w:fldChar w:fldCharType="separate"/>
    </w:r>
    <w:r w:rsidR="005E630E">
      <w:rPr>
        <w:i/>
        <w:noProof/>
        <w:sz w:val="16"/>
        <w:szCs w:val="16"/>
      </w:rPr>
      <w:t>3</w:t>
    </w:r>
    <w:r w:rsidR="004D19D5" w:rsidRPr="00DC563A">
      <w:rPr>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F6E" w:rsidRDefault="00061F6E" w:rsidP="004D19D5">
      <w:r>
        <w:separator/>
      </w:r>
    </w:p>
  </w:footnote>
  <w:footnote w:type="continuationSeparator" w:id="0">
    <w:p w:rsidR="00061F6E" w:rsidRDefault="00061F6E" w:rsidP="004D19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490" w:rsidRDefault="00CA0490" w:rsidP="00CA0490">
    <w:pPr>
      <w:pStyle w:val="Encabezamiento"/>
      <w:rPr>
        <w:sz w:val="16"/>
        <w:szCs w:val="16"/>
      </w:rPr>
    </w:pPr>
    <w:r>
      <w:rPr>
        <w:noProof/>
        <w:sz w:val="16"/>
        <w:szCs w:val="16"/>
        <w:lang w:eastAsia="es-ES"/>
      </w:rPr>
      <w:drawing>
        <wp:anchor distT="0" distB="0" distL="133350" distR="123190" simplePos="0" relativeHeight="251662336" behindDoc="1" locked="0" layoutInCell="1" allowOverlap="1" wp14:anchorId="17D9FB00" wp14:editId="207EDCC9">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1"/>
                  <a:stretch>
                    <a:fillRect/>
                  </a:stretch>
                </pic:blipFill>
                <pic:spPr bwMode="auto">
                  <a:xfrm>
                    <a:off x="0" y="0"/>
                    <a:ext cx="752475" cy="695325"/>
                  </a:xfrm>
                  <a:prstGeom prst="rect">
                    <a:avLst/>
                  </a:prstGeom>
                </pic:spPr>
              </pic:pic>
            </a:graphicData>
          </a:graphic>
        </wp:anchor>
      </w:drawing>
    </w:r>
  </w:p>
  <w:p w:rsidR="00CA0490" w:rsidRDefault="00D727B6" w:rsidP="00CA0490">
    <w:pPr>
      <w:pStyle w:val="Encabezamiento"/>
      <w:rPr>
        <w:sz w:val="16"/>
        <w:szCs w:val="16"/>
      </w:rPr>
    </w:pPr>
    <w:r>
      <w:rPr>
        <w:noProof/>
        <w:szCs w:val="28"/>
        <w:lang w:eastAsia="es-ES"/>
      </w:rPr>
      <w:drawing>
        <wp:inline distT="0" distB="0" distL="0" distR="0" wp14:anchorId="75F1AAB9" wp14:editId="532F6561">
          <wp:extent cx="1584252" cy="700978"/>
          <wp:effectExtent l="0" t="0" r="0" b="4445"/>
          <wp:docPr id="1" name="2 Imagen" descr="AQUAVALLCMYK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QUAVALLCMYKCOLOR.jpg"/>
                  <pic:cNvPicPr/>
                </pic:nvPicPr>
                <pic:blipFill>
                  <a:blip r:embed="rId2"/>
                  <a:stretch>
                    <a:fillRect/>
                  </a:stretch>
                </pic:blipFill>
                <pic:spPr>
                  <a:xfrm>
                    <a:off x="0" y="0"/>
                    <a:ext cx="1710659" cy="756909"/>
                  </a:xfrm>
                  <a:prstGeom prst="rect">
                    <a:avLst/>
                  </a:prstGeom>
                </pic:spPr>
              </pic:pic>
            </a:graphicData>
          </a:graphic>
        </wp:inline>
      </w:drawing>
    </w:r>
  </w:p>
  <w:p w:rsidR="00CA0490" w:rsidRDefault="00CA0490" w:rsidP="00CA0490">
    <w:pPr>
      <w:jc w:val="center"/>
    </w:pPr>
  </w:p>
  <w:p w:rsidR="00CA0490" w:rsidRDefault="00D727B6" w:rsidP="00CA0490">
    <w:pPr>
      <w:pStyle w:val="Encabezamiento"/>
      <w:rPr>
        <w:sz w:val="16"/>
        <w:szCs w:val="16"/>
      </w:rPr>
    </w:pPr>
    <w:r>
      <w:rPr>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A5C94"/>
    <w:multiLevelType w:val="hybridMultilevel"/>
    <w:tmpl w:val="0B6450A8"/>
    <w:lvl w:ilvl="0" w:tplc="14AEC33A">
      <w:start w:val="1"/>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6DE95F10"/>
    <w:multiLevelType w:val="hybridMultilevel"/>
    <w:tmpl w:val="53E60A44"/>
    <w:lvl w:ilvl="0" w:tplc="14AEC33A">
      <w:start w:val="1"/>
      <w:numFmt w:val="bullet"/>
      <w:lvlText w:val="-"/>
      <w:lvlJc w:val="left"/>
      <w:pPr>
        <w:ind w:left="36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D5"/>
    <w:rsid w:val="00002C86"/>
    <w:rsid w:val="00013A0F"/>
    <w:rsid w:val="00041E85"/>
    <w:rsid w:val="000566D8"/>
    <w:rsid w:val="00061F6E"/>
    <w:rsid w:val="00082B38"/>
    <w:rsid w:val="000B6B9C"/>
    <w:rsid w:val="000C541E"/>
    <w:rsid w:val="001A2A1A"/>
    <w:rsid w:val="001F14FF"/>
    <w:rsid w:val="001F5FAA"/>
    <w:rsid w:val="00223D86"/>
    <w:rsid w:val="00245EBA"/>
    <w:rsid w:val="00246868"/>
    <w:rsid w:val="002565B8"/>
    <w:rsid w:val="0028479D"/>
    <w:rsid w:val="0029165B"/>
    <w:rsid w:val="002D0C34"/>
    <w:rsid w:val="002D4106"/>
    <w:rsid w:val="002F32C2"/>
    <w:rsid w:val="003208F0"/>
    <w:rsid w:val="003409BC"/>
    <w:rsid w:val="003A39C4"/>
    <w:rsid w:val="0041669F"/>
    <w:rsid w:val="00445A42"/>
    <w:rsid w:val="004D19D5"/>
    <w:rsid w:val="0054693C"/>
    <w:rsid w:val="0055073B"/>
    <w:rsid w:val="00552017"/>
    <w:rsid w:val="005B225A"/>
    <w:rsid w:val="005C76D0"/>
    <w:rsid w:val="005E630E"/>
    <w:rsid w:val="005E7E24"/>
    <w:rsid w:val="006A30D3"/>
    <w:rsid w:val="006A4DD7"/>
    <w:rsid w:val="007E29F7"/>
    <w:rsid w:val="007E4F22"/>
    <w:rsid w:val="00892876"/>
    <w:rsid w:val="008C018E"/>
    <w:rsid w:val="008D1D24"/>
    <w:rsid w:val="00903A50"/>
    <w:rsid w:val="00904CAB"/>
    <w:rsid w:val="00946045"/>
    <w:rsid w:val="0095538E"/>
    <w:rsid w:val="00987B0F"/>
    <w:rsid w:val="009C70ED"/>
    <w:rsid w:val="00A11A86"/>
    <w:rsid w:val="00A322FA"/>
    <w:rsid w:val="00A4216B"/>
    <w:rsid w:val="00A513F2"/>
    <w:rsid w:val="00A67F3F"/>
    <w:rsid w:val="00AA4A26"/>
    <w:rsid w:val="00B629B2"/>
    <w:rsid w:val="00B72E9E"/>
    <w:rsid w:val="00BB4E59"/>
    <w:rsid w:val="00BD2DEF"/>
    <w:rsid w:val="00C3003E"/>
    <w:rsid w:val="00C56022"/>
    <w:rsid w:val="00C56A1E"/>
    <w:rsid w:val="00CA0490"/>
    <w:rsid w:val="00CB288D"/>
    <w:rsid w:val="00CC0CF6"/>
    <w:rsid w:val="00D727B6"/>
    <w:rsid w:val="00DB003D"/>
    <w:rsid w:val="00DC563A"/>
    <w:rsid w:val="00E074A8"/>
    <w:rsid w:val="00E31D2A"/>
    <w:rsid w:val="00E47474"/>
    <w:rsid w:val="00E710B7"/>
    <w:rsid w:val="00E926CA"/>
    <w:rsid w:val="00EA1189"/>
    <w:rsid w:val="00EA79A6"/>
    <w:rsid w:val="00EE0350"/>
    <w:rsid w:val="00F3547C"/>
    <w:rsid w:val="00F3766A"/>
    <w:rsid w:val="00F41F99"/>
    <w:rsid w:val="00F42877"/>
    <w:rsid w:val="00F53A65"/>
    <w:rsid w:val="00F8502E"/>
    <w:rsid w:val="00FA7260"/>
    <w:rsid w:val="00FB08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4D818"/>
  <w15:docId w15:val="{EF589561-2C09-4D14-8A5F-98F5DF1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paragraph" w:styleId="Textoindependiente2">
    <w:name w:val="Body Text 2"/>
    <w:basedOn w:val="Normal"/>
    <w:link w:val="Textoindependiente2Car"/>
    <w:semiHidden/>
    <w:unhideWhenUsed/>
    <w:rsid w:val="00246868"/>
    <w:pPr>
      <w:spacing w:after="120" w:line="480" w:lineRule="auto"/>
    </w:pPr>
  </w:style>
  <w:style w:type="character" w:customStyle="1" w:styleId="Textoindependiente2Car">
    <w:name w:val="Texto independiente 2 Car"/>
    <w:basedOn w:val="Fuentedeprrafopredeter"/>
    <w:link w:val="Textoindependiente2"/>
    <w:semiHidden/>
    <w:rsid w:val="00246868"/>
    <w:rPr>
      <w:color w:val="00000A"/>
      <w:sz w:val="24"/>
      <w:szCs w:val="24"/>
      <w:lang w:eastAsia="ja-JP"/>
    </w:rPr>
  </w:style>
  <w:style w:type="paragraph" w:customStyle="1" w:styleId="Style1">
    <w:name w:val="Style 1"/>
    <w:basedOn w:val="Normal"/>
    <w:uiPriority w:val="99"/>
    <w:rsid w:val="00246868"/>
    <w:pPr>
      <w:widowControl w:val="0"/>
      <w:autoSpaceDE w:val="0"/>
      <w:autoSpaceDN w:val="0"/>
      <w:adjustRightInd w:val="0"/>
    </w:pPr>
    <w:rPr>
      <w:rFonts w:eastAsia="Times New Roman"/>
      <w:color w:val="auto"/>
      <w:lang w:val="en-US" w:eastAsia="en-US"/>
    </w:rPr>
  </w:style>
  <w:style w:type="character" w:styleId="Hipervnculo">
    <w:name w:val="Hyperlink"/>
    <w:basedOn w:val="Fuentedeprrafopredeter"/>
    <w:uiPriority w:val="99"/>
    <w:unhideWhenUsed/>
    <w:rsid w:val="002468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5.png@01D5B671.7FB3B0E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67C0B-630C-437B-B8D9-550540E8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624</Words>
  <Characters>3432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Jose Maria Francisco de Frutos</cp:lastModifiedBy>
  <cp:revision>6</cp:revision>
  <cp:lastPrinted>2019-12-20T08:15:00Z</cp:lastPrinted>
  <dcterms:created xsi:type="dcterms:W3CDTF">2019-12-20T08:37:00Z</dcterms:created>
  <dcterms:modified xsi:type="dcterms:W3CDTF">2019-12-20T10:32:00Z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